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Default="00F22B12" w:rsidP="003B5A41">
      <w:pPr>
        <w:pStyle w:val="Title"/>
      </w:pPr>
      <w:r>
        <w:t>Shifted EC-RACH operation</w:t>
      </w:r>
    </w:p>
    <w:p w:rsidR="003B5A41" w:rsidRDefault="00F22B12" w:rsidP="003B5A41">
      <w:pPr>
        <w:pStyle w:val="Heading1"/>
      </w:pPr>
      <w:r>
        <w:t>Introduction</w:t>
      </w:r>
    </w:p>
    <w:p w:rsidR="00F22B12" w:rsidRPr="00561182" w:rsidRDefault="008A7169" w:rsidP="00A045BA">
      <w:pPr>
        <w:pStyle w:val="BodyText"/>
      </w:pPr>
      <w:r w:rsidRPr="00561182">
        <w:t>The EC-EGPRS feature is currently being specified in 3GPP Rel-13</w:t>
      </w:r>
      <w:r w:rsidR="00485BCD" w:rsidRPr="00561182">
        <w:t xml:space="preserve">, see </w:t>
      </w:r>
      <w:r w:rsidR="00485BCD">
        <w:fldChar w:fldCharType="begin"/>
      </w:r>
      <w:r w:rsidR="00485BCD" w:rsidRPr="00561182">
        <w:instrText xml:space="preserve"> REF _Ref437514647 \r \h </w:instrText>
      </w:r>
      <w:r w:rsidR="00A045BA" w:rsidRPr="00561182">
        <w:instrText xml:space="preserve"> \* MERGEFORMAT </w:instrText>
      </w:r>
      <w:r w:rsidR="00485BCD">
        <w:fldChar w:fldCharType="separate"/>
      </w:r>
      <w:r w:rsidR="00485BCD" w:rsidRPr="00561182">
        <w:t>[1]</w:t>
      </w:r>
      <w:r w:rsidR="00485BCD">
        <w:fldChar w:fldCharType="end"/>
      </w:r>
      <w:r w:rsidRPr="00561182">
        <w:t xml:space="preserve">. </w:t>
      </w:r>
    </w:p>
    <w:p w:rsidR="00485BCD" w:rsidRPr="00561182" w:rsidRDefault="008D246A" w:rsidP="00A045BA">
      <w:pPr>
        <w:pStyle w:val="BodyText"/>
      </w:pPr>
      <w:r w:rsidRPr="00561182">
        <w:t>One of the main objectives of the work is to specify EGPRS operation in extended coverage, which includes the introduction of new logical channels.</w:t>
      </w:r>
    </w:p>
    <w:p w:rsidR="008D246A" w:rsidRPr="00561182" w:rsidRDefault="008D246A" w:rsidP="00A045BA">
      <w:pPr>
        <w:pStyle w:val="BodyText"/>
      </w:pPr>
      <w:r w:rsidRPr="00561182">
        <w:t>This contribution addresses the random access channel, and the mapping of the EC-RACH channel onto the physical channel, which mainly has an impact to 3GPP TS 45.002.</w:t>
      </w:r>
    </w:p>
    <w:p w:rsidR="003B5A41" w:rsidRDefault="00970BD1" w:rsidP="00970BD1">
      <w:pPr>
        <w:pStyle w:val="Heading1"/>
      </w:pPr>
      <w:r>
        <w:t xml:space="preserve">Shifted </w:t>
      </w:r>
      <w:r w:rsidR="00CD48F8">
        <w:t>mapping</w:t>
      </w:r>
    </w:p>
    <w:p w:rsidR="00C6640C" w:rsidRPr="00561182" w:rsidRDefault="00970BD1" w:rsidP="00F51786">
      <w:pPr>
        <w:pStyle w:val="BodyText"/>
      </w:pPr>
      <w:r w:rsidRPr="00561182">
        <w:t>The EC-RACH has been investigated to operate well using four different coverage classes (CCs) using repetitions 1,</w:t>
      </w:r>
      <w:r w:rsidR="00AA6616">
        <w:t xml:space="preserve"> </w:t>
      </w:r>
      <w:r w:rsidRPr="00561182">
        <w:t>4,</w:t>
      </w:r>
      <w:r w:rsidR="00AA6616">
        <w:t xml:space="preserve"> </w:t>
      </w:r>
      <w:r w:rsidR="00E02505">
        <w:t>16</w:t>
      </w:r>
      <w:r w:rsidRPr="00561182">
        <w:t>,</w:t>
      </w:r>
      <w:r w:rsidR="00AA6616">
        <w:t xml:space="preserve"> </w:t>
      </w:r>
      <w:r w:rsidR="00E02505">
        <w:t>48</w:t>
      </w:r>
      <w:r w:rsidRPr="00561182">
        <w:t xml:space="preserve">, see </w:t>
      </w:r>
      <w:r>
        <w:fldChar w:fldCharType="begin"/>
      </w:r>
      <w:r w:rsidRPr="00561182">
        <w:instrText xml:space="preserve"> REF _Ref437514830 \r \h </w:instrText>
      </w:r>
      <w:r w:rsidR="00F51786">
        <w:instrText xml:space="preserve"> \* MERGEFORMAT </w:instrText>
      </w:r>
      <w:r>
        <w:fldChar w:fldCharType="separate"/>
      </w:r>
      <w:r w:rsidRPr="00561182">
        <w:t>[2]</w:t>
      </w:r>
      <w:r>
        <w:fldChar w:fldCharType="end"/>
      </w:r>
      <w:r w:rsidRPr="00561182">
        <w:t xml:space="preserve">. It has so far been assumed that the CCs are aligned in time, meaning that at specific TDMA frames within the 51 multiframe, all coverage classes finish their period of blind transmissions. This is illustrated in </w:t>
      </w:r>
      <w:r>
        <w:fldChar w:fldCharType="begin"/>
      </w:r>
      <w:r w:rsidRPr="00561182">
        <w:instrText xml:space="preserve"> REF _Ref437514909 \h </w:instrText>
      </w:r>
      <w:r w:rsidR="00F51786">
        <w:instrText xml:space="preserve"> \* MERGEFORMAT </w:instrText>
      </w:r>
      <w:r>
        <w:fldChar w:fldCharType="separate"/>
      </w:r>
      <w:r w:rsidRPr="00561182">
        <w:t>Figure 1</w:t>
      </w:r>
      <w:r>
        <w:fldChar w:fldCharType="end"/>
      </w:r>
      <w:r w:rsidRPr="00561182">
        <w:t xml:space="preserve"> where one of the blocks are highlighted to show this effect. That is, at TDMA frame number 15 within the 51 mu</w:t>
      </w:r>
      <w:r w:rsidR="008F22DE">
        <w:t>l</w:t>
      </w:r>
      <w:r w:rsidRPr="00561182">
        <w:t xml:space="preserve">tiframe CC1, CC2, </w:t>
      </w:r>
      <w:r w:rsidR="008F22DE">
        <w:t xml:space="preserve">and </w:t>
      </w:r>
      <w:r w:rsidRPr="00561182">
        <w:t>CC3 will finish their blind transmission period.</w:t>
      </w:r>
    </w:p>
    <w:p w:rsidR="00970BD1" w:rsidRPr="00970BD1" w:rsidRDefault="00297B6E" w:rsidP="00970BD1">
      <w:r>
        <w:object w:dxaOrig="13080" w:dyaOrig="6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192.15pt" o:ole="">
            <v:imagedata r:id="rId9" o:title=""/>
          </v:shape>
          <o:OLEObject Type="Embed" ProgID="Visio.Drawing.15" ShapeID="_x0000_i1025" DrawAspect="Content" ObjectID="_1516552037" r:id="rId10"/>
        </w:object>
      </w:r>
    </w:p>
    <w:p w:rsidR="00970BD1" w:rsidRPr="00561182" w:rsidRDefault="00970BD1" w:rsidP="00970BD1">
      <w:pPr>
        <w:pStyle w:val="Caption"/>
      </w:pPr>
      <w:bookmarkStart w:id="0" w:name="_Ref437514909"/>
      <w:r w:rsidRPr="00561182">
        <w:t xml:space="preserve">Figure </w:t>
      </w:r>
      <w:r>
        <w:fldChar w:fldCharType="begin"/>
      </w:r>
      <w:r w:rsidRPr="00561182">
        <w:instrText xml:space="preserve"> SEQ Figure \* ARABIC </w:instrText>
      </w:r>
      <w:r>
        <w:fldChar w:fldCharType="separate"/>
      </w:r>
      <w:r w:rsidR="00B005F5" w:rsidRPr="00561182">
        <w:rPr>
          <w:noProof/>
        </w:rPr>
        <w:t>1</w:t>
      </w:r>
      <w:r>
        <w:fldChar w:fldCharType="end"/>
      </w:r>
      <w:bookmarkEnd w:id="0"/>
      <w:r w:rsidRPr="00561182">
        <w:t xml:space="preserve">: </w:t>
      </w:r>
      <w:r w:rsidR="00710CE4" w:rsidRPr="00561182">
        <w:t>Current mapping</w:t>
      </w:r>
    </w:p>
    <w:p w:rsidR="00970BD1" w:rsidRPr="00561182" w:rsidRDefault="00970BD1" w:rsidP="00F51786">
      <w:pPr>
        <w:pStyle w:val="BodyText"/>
      </w:pPr>
      <w:r w:rsidRPr="00561182">
        <w:t xml:space="preserve">In the BTS, this would either mean that </w:t>
      </w:r>
      <w:r w:rsidR="000B2BC6">
        <w:t xml:space="preserve">between 1 </w:t>
      </w:r>
      <w:r w:rsidR="00297B6E">
        <w:t>to 3</w:t>
      </w:r>
      <w:r w:rsidR="000B2BC6">
        <w:t xml:space="preserve"> </w:t>
      </w:r>
      <w:r w:rsidRPr="00561182">
        <w:t xml:space="preserve">coverage classes need to be demodulated and decoded at </w:t>
      </w:r>
      <w:r w:rsidR="000B2BC6">
        <w:t>the same</w:t>
      </w:r>
      <w:r w:rsidR="000B2BC6" w:rsidRPr="00561182">
        <w:t xml:space="preserve"> </w:t>
      </w:r>
      <w:r w:rsidRPr="00561182">
        <w:t xml:space="preserve">point, or alternatively that the load is balanced over time, meaning that for example </w:t>
      </w:r>
      <w:r w:rsidR="00B17AFD">
        <w:t xml:space="preserve">two blocks of </w:t>
      </w:r>
      <w:r w:rsidRPr="00561182">
        <w:t xml:space="preserve">CC3 </w:t>
      </w:r>
      <w:r w:rsidR="00297B6E">
        <w:t>need to be buffered</w:t>
      </w:r>
      <w:r w:rsidR="00B17AFD">
        <w:t xml:space="preserve"> and that </w:t>
      </w:r>
      <w:r w:rsidR="00D432B4" w:rsidRPr="00561182">
        <w:t xml:space="preserve">the demodulator </w:t>
      </w:r>
      <w:r w:rsidR="00B17AFD">
        <w:t xml:space="preserve">can be called </w:t>
      </w:r>
      <w:r w:rsidR="00D432B4" w:rsidRPr="00561182">
        <w:t xml:space="preserve">at </w:t>
      </w:r>
      <w:r w:rsidR="00B17AFD">
        <w:t xml:space="preserve">the next </w:t>
      </w:r>
      <w:r w:rsidR="00D432B4" w:rsidRPr="00561182">
        <w:t>TDMA frame instead</w:t>
      </w:r>
      <w:r w:rsidR="00B17AFD">
        <w:t xml:space="preserve"> where there is no overlap with other coverage classes than CC1 (in this example TDMA frame 16)</w:t>
      </w:r>
      <w:r w:rsidR="00D432B4" w:rsidRPr="00561182">
        <w:t>. This will instead put some requirements on the memory of the BTS, storing bursts for both block 0 (B0) and block 1 (B1) simultaneously.</w:t>
      </w:r>
    </w:p>
    <w:p w:rsidR="0098689B" w:rsidRPr="00561182" w:rsidRDefault="0098689B" w:rsidP="00F51786">
      <w:pPr>
        <w:pStyle w:val="BodyText"/>
      </w:pPr>
      <w:r w:rsidRPr="00561182">
        <w:t xml:space="preserve">It can also be noted that it is of interest to maintain the block repetitions within the 51 multiframe to get a contained repetition interval for the logical channel. This has given rise </w:t>
      </w:r>
      <w:r w:rsidRPr="00561182">
        <w:lastRenderedPageBreak/>
        <w:t>to three idle frame</w:t>
      </w:r>
      <w:r w:rsidR="00561182">
        <w:t>s</w:t>
      </w:r>
      <w:r w:rsidRPr="00561182">
        <w:t xml:space="preserve"> at the end of the 5</w:t>
      </w:r>
      <w:r w:rsidR="000B7CC5" w:rsidRPr="00561182">
        <w:t xml:space="preserve">1 multiframe for CC2, CC3, CC4 since 4, </w:t>
      </w:r>
      <w:r w:rsidR="00554399">
        <w:t>16</w:t>
      </w:r>
      <w:r w:rsidR="000B7CC5" w:rsidRPr="00561182">
        <w:t xml:space="preserve"> and </w:t>
      </w:r>
      <w:r w:rsidR="00554399">
        <w:t>48</w:t>
      </w:r>
      <w:r w:rsidR="000B7CC5" w:rsidRPr="00561182">
        <w:t xml:space="preserve"> are not evenly divisible by 51.</w:t>
      </w:r>
    </w:p>
    <w:p w:rsidR="00B005F5" w:rsidRPr="00561182" w:rsidRDefault="00B005F5" w:rsidP="00F51786">
      <w:pPr>
        <w:pStyle w:val="BodyText"/>
      </w:pPr>
      <w:r w:rsidRPr="00561182">
        <w:t>Hence to more naturally spread the processing load and memory requirements, it is proposed to make use of the idle frame available to shift the EC-RACH mapping to avoid all coverage classes aligning in the same TDMA frame.</w:t>
      </w:r>
    </w:p>
    <w:p w:rsidR="00B005F5" w:rsidRPr="00561182" w:rsidRDefault="00B005F5" w:rsidP="00F51786">
      <w:pPr>
        <w:pStyle w:val="BodyText"/>
      </w:pPr>
      <w:r w:rsidRPr="00561182">
        <w:t xml:space="preserve">This is illustrated in </w:t>
      </w:r>
      <w:r>
        <w:fldChar w:fldCharType="begin"/>
      </w:r>
      <w:r w:rsidRPr="00561182">
        <w:instrText xml:space="preserve"> REF _Ref437515710 \h </w:instrText>
      </w:r>
      <w:r w:rsidR="00F51786">
        <w:instrText xml:space="preserve"> \* MERGEFORMAT </w:instrText>
      </w:r>
      <w:r>
        <w:fldChar w:fldCharType="separate"/>
      </w:r>
      <w:r w:rsidRPr="00561182">
        <w:t xml:space="preserve">Figure </w:t>
      </w:r>
      <w:r w:rsidRPr="00561182">
        <w:rPr>
          <w:noProof/>
        </w:rPr>
        <w:t>2</w:t>
      </w:r>
      <w:r>
        <w:fldChar w:fldCharType="end"/>
      </w:r>
      <w:r w:rsidRPr="00561182">
        <w:t xml:space="preserve"> where CC</w:t>
      </w:r>
      <w:r w:rsidR="00554399">
        <w:t>2</w:t>
      </w:r>
      <w:r w:rsidRPr="00561182">
        <w:t xml:space="preserve"> has been shifted 1 TDMA frame, </w:t>
      </w:r>
      <w:r w:rsidR="00554399">
        <w:t xml:space="preserve">CC3 by 2 TDMA frames </w:t>
      </w:r>
      <w:r w:rsidRPr="00561182">
        <w:t xml:space="preserve">and CC4 has been shifted </w:t>
      </w:r>
      <w:r w:rsidR="00554399">
        <w:t>3</w:t>
      </w:r>
      <w:r w:rsidRPr="00561182">
        <w:t xml:space="preserve"> TDMA frames.</w:t>
      </w:r>
      <w:r w:rsidR="00710CE4" w:rsidRPr="00561182">
        <w:t xml:space="preserve"> This limits the processing to at most 2 demodulations (CC1 in every TDMA frame, and at most one more CC).</w:t>
      </w:r>
    </w:p>
    <w:p w:rsidR="00B005F5" w:rsidRPr="00B005F5" w:rsidRDefault="00554399" w:rsidP="00970BD1">
      <w:pPr>
        <w:rPr>
          <w:b/>
        </w:rPr>
      </w:pPr>
      <w:r>
        <w:object w:dxaOrig="13155" w:dyaOrig="6330">
          <v:shape id="_x0000_i1026" type="#_x0000_t75" style="width:413.3pt;height:198.7pt" o:ole="">
            <v:imagedata r:id="rId11" o:title=""/>
          </v:shape>
          <o:OLEObject Type="Embed" ProgID="Visio.Drawing.15" ShapeID="_x0000_i1026" DrawAspect="Content" ObjectID="_1516552038" r:id="rId12"/>
        </w:object>
      </w:r>
    </w:p>
    <w:p w:rsidR="00B005F5" w:rsidRPr="00970BD1" w:rsidRDefault="00B005F5" w:rsidP="00B005F5">
      <w:pPr>
        <w:pStyle w:val="Caption"/>
      </w:pPr>
      <w:bookmarkStart w:id="1" w:name="_Ref437515710"/>
      <w:r>
        <w:t xml:space="preserve">Figure </w:t>
      </w:r>
      <w:fldSimple w:instr=" SEQ Figure \* ARABIC ">
        <w:r>
          <w:rPr>
            <w:noProof/>
          </w:rPr>
          <w:t>2</w:t>
        </w:r>
      </w:fldSimple>
      <w:bookmarkEnd w:id="1"/>
      <w:r>
        <w:t xml:space="preserve">: </w:t>
      </w:r>
      <w:r w:rsidR="00710CE4">
        <w:t>Shifted mapping</w:t>
      </w:r>
    </w:p>
    <w:p w:rsidR="00970BD1" w:rsidRDefault="00CD48F8" w:rsidP="00CD48F8">
      <w:pPr>
        <w:pStyle w:val="Heading1"/>
      </w:pPr>
      <w:r>
        <w:t>Discussion</w:t>
      </w:r>
    </w:p>
    <w:p w:rsidR="0078539C" w:rsidRDefault="00CD48F8" w:rsidP="00F51786">
      <w:pPr>
        <w:pStyle w:val="BodyText"/>
      </w:pPr>
      <w:r w:rsidRPr="00561182">
        <w:t>Implications of using the shifted mapping is that overlaid CDMA cannot be applied across the TDMA frames</w:t>
      </w:r>
      <w:r w:rsidR="0078539C">
        <w:t xml:space="preserve"> when using 1 TS EC-RACH mapping. Overlaid CDMA could still be considered for the 2TS EC-RACH mapping, see </w:t>
      </w:r>
      <w:r w:rsidR="0078539C">
        <w:fldChar w:fldCharType="begin"/>
      </w:r>
      <w:r w:rsidR="0078539C">
        <w:instrText xml:space="preserve"> REF _Ref442810033 \r \h </w:instrText>
      </w:r>
      <w:r w:rsidR="0078539C">
        <w:fldChar w:fldCharType="separate"/>
      </w:r>
      <w:r w:rsidR="0078539C">
        <w:t>[3]</w:t>
      </w:r>
      <w:r w:rsidR="0078539C">
        <w:fldChar w:fldCharType="end"/>
      </w:r>
      <w:r w:rsidR="0078539C">
        <w:t>.</w:t>
      </w:r>
    </w:p>
    <w:p w:rsidR="00CD48F8" w:rsidRPr="00561182" w:rsidRDefault="0078539C" w:rsidP="00F51786">
      <w:pPr>
        <w:pStyle w:val="BodyText"/>
      </w:pPr>
      <w:r>
        <w:t>A</w:t>
      </w:r>
      <w:r w:rsidR="00CD48F8" w:rsidRPr="00561182">
        <w:t>part from this, it is not expected to have any negative im</w:t>
      </w:r>
      <w:r w:rsidR="00561182">
        <w:t>p</w:t>
      </w:r>
      <w:r w:rsidR="00CD48F8" w:rsidRPr="00561182">
        <w:t>act to the EC-EGPRS performance.</w:t>
      </w:r>
      <w:r w:rsidR="009300F2">
        <w:t xml:space="preserve"> Rather a positive impact would be expected from the increased intra-cell interference diversity.</w:t>
      </w:r>
    </w:p>
    <w:p w:rsidR="00CD48F8" w:rsidRDefault="00CD48F8" w:rsidP="00CD48F8">
      <w:pPr>
        <w:pStyle w:val="Heading1"/>
      </w:pPr>
      <w:r>
        <w:t>Conclusion</w:t>
      </w:r>
    </w:p>
    <w:p w:rsidR="00CD48F8" w:rsidRPr="00561182" w:rsidRDefault="00CD48F8" w:rsidP="00B87B51">
      <w:pPr>
        <w:pStyle w:val="BodyText"/>
      </w:pPr>
      <w:r w:rsidRPr="00561182">
        <w:t>It is proposed to apply a shift to the mapping of EC-RACH to naturally spread the processing load and memory requirements of the BTS.</w:t>
      </w:r>
      <w:r w:rsidR="00506066" w:rsidRPr="00561182">
        <w:t xml:space="preserve"> The shift would apply to </w:t>
      </w:r>
      <w:r w:rsidR="00554399">
        <w:t xml:space="preserve">CC2, </w:t>
      </w:r>
      <w:r w:rsidR="00506066" w:rsidRPr="00561182">
        <w:t>CC3 and CC4, which would ensure that at most 2 CCs need to be simultaneously processed by the BTS.</w:t>
      </w:r>
    </w:p>
    <w:p w:rsidR="00506066" w:rsidRDefault="00506066" w:rsidP="00B87B51">
      <w:pPr>
        <w:pStyle w:val="BodyText"/>
      </w:pPr>
      <w:r w:rsidRPr="00561182">
        <w:t>The implication of the shifted mapping is that overlaid CDMA cannot be applied on EC-RACH</w:t>
      </w:r>
      <w:r w:rsidR="00ED35B7">
        <w:t>, at least not if using a 1 TS EC-RACH mapping</w:t>
      </w:r>
      <w:r w:rsidRPr="00561182">
        <w:t>.</w:t>
      </w:r>
      <w:r w:rsidR="00ED35B7">
        <w:t xml:space="preserve"> It could be considered to apply overlaid CDMA to the 2 TS EC-RACH mapping to improve interference suppression on EC-RACH.</w:t>
      </w:r>
    </w:p>
    <w:p w:rsidR="004E7EF6" w:rsidRPr="00561182" w:rsidRDefault="004E7EF6" w:rsidP="00B87B51">
      <w:pPr>
        <w:pStyle w:val="BodyText"/>
      </w:pPr>
      <w:r>
        <w:t xml:space="preserve">The shifted EC-RACH mapping has been applied in the CR to 45.003 outlining the mapping of logical channels onto physical channels, see </w:t>
      </w:r>
      <w:r>
        <w:fldChar w:fldCharType="begin"/>
      </w:r>
      <w:r>
        <w:instrText xml:space="preserve"> REF _Ref442810132 \r \h </w:instrText>
      </w:r>
      <w:r>
        <w:fldChar w:fldCharType="separate"/>
      </w:r>
      <w:r>
        <w:t>[4]</w:t>
      </w:r>
      <w:r>
        <w:fldChar w:fldCharType="end"/>
      </w:r>
      <w:r>
        <w:t xml:space="preserve">. The use of overlaid CDMA has not been assumed to be used on </w:t>
      </w:r>
      <w:r w:rsidR="00100FD9">
        <w:t xml:space="preserve">the 2 TS EC-RACH mapping option in </w:t>
      </w:r>
      <w:r w:rsidR="00100FD9">
        <w:t xml:space="preserve"> </w:t>
      </w:r>
      <w:r w:rsidR="00100FD9">
        <w:fldChar w:fldCharType="begin"/>
      </w:r>
      <w:r w:rsidR="00100FD9">
        <w:instrText xml:space="preserve"> REF _Ref442810132 \r \h </w:instrText>
      </w:r>
      <w:r w:rsidR="00100FD9">
        <w:fldChar w:fldCharType="separate"/>
      </w:r>
      <w:r w:rsidR="00100FD9">
        <w:t>[4]</w:t>
      </w:r>
      <w:r w:rsidR="00100FD9">
        <w:fldChar w:fldCharType="end"/>
      </w:r>
      <w:r w:rsidR="00100FD9">
        <w:t>.</w:t>
      </w:r>
      <w:bookmarkStart w:id="2" w:name="_GoBack"/>
      <w:bookmarkEnd w:id="2"/>
    </w:p>
    <w:p w:rsidR="00485BCD" w:rsidRDefault="00485BCD" w:rsidP="00485BCD">
      <w:pPr>
        <w:pStyle w:val="Heading1"/>
      </w:pPr>
      <w:r>
        <w:lastRenderedPageBreak/>
        <w:t>References</w:t>
      </w:r>
    </w:p>
    <w:bookmarkStart w:id="3" w:name="_Ref397674406"/>
    <w:bookmarkStart w:id="4" w:name="_Ref391121529"/>
    <w:bookmarkStart w:id="5" w:name="_Ref437514647"/>
    <w:p w:rsidR="00485BCD" w:rsidRDefault="00485BCD" w:rsidP="00485BCD">
      <w:pPr>
        <w:pStyle w:val="Reference"/>
      </w:pPr>
      <w:r w:rsidRPr="007E3D54">
        <w:fldChar w:fldCharType="begin"/>
      </w:r>
      <w:r w:rsidRPr="00561182">
        <w:instrText xml:space="preserve"> HYPERLINK "ftp://www.3gpp.org/tsg_geran/TSG_GERAN/GERAN_67_Yinchuan/Docs/GP-151039.zip" </w:instrText>
      </w:r>
      <w:r w:rsidRPr="007E3D54">
        <w:fldChar w:fldCharType="separate"/>
      </w:r>
      <w:r w:rsidRPr="00561182">
        <w:rPr>
          <w:rStyle w:val="Hyperlink"/>
        </w:rPr>
        <w:t>GP-151039</w:t>
      </w:r>
      <w:r w:rsidRPr="007E3D54">
        <w:fldChar w:fldCharType="end"/>
      </w:r>
      <w:r w:rsidRPr="00561182">
        <w:t>, “</w:t>
      </w:r>
      <w:bookmarkEnd w:id="3"/>
      <w:bookmarkEnd w:id="4"/>
      <w:r w:rsidRPr="00561182">
        <w:t xml:space="preserve">New Work Item on Extended Coverage GSM (EC-GSM) for support of Cellular Internet of Things”, source Ericsson LM, Intel, Gemalto N.V., MediaTek Inc., TeliaSonera AB, Sierra Wireless S.A., Telit Communications S.p.A., ORANGE, Nokia Networks, Alcatel-Lucent. </w:t>
      </w:r>
      <w:r>
        <w:t>GERAN#67.</w:t>
      </w:r>
      <w:bookmarkEnd w:id="5"/>
    </w:p>
    <w:bookmarkStart w:id="6" w:name="_Ref437514830"/>
    <w:p w:rsidR="00970BD1" w:rsidRDefault="00E02505" w:rsidP="00970BD1">
      <w:pPr>
        <w:pStyle w:val="Reference"/>
      </w:pPr>
      <w:r>
        <w:fldChar w:fldCharType="begin"/>
      </w:r>
      <w:r>
        <w:instrText xml:space="preserve"> HYPERLINK "ftp://www.3gpp.org/tsg_geran/TSG_GERAN/GERAN_69_Malta/Docs/GP-160026.zip" </w:instrText>
      </w:r>
      <w:r>
        <w:fldChar w:fldCharType="separate"/>
      </w:r>
      <w:r>
        <w:rPr>
          <w:rStyle w:val="Hyperlink"/>
        </w:rPr>
        <w:t>GP-160026</w:t>
      </w:r>
      <w:r>
        <w:fldChar w:fldCharType="end"/>
      </w:r>
      <w:r w:rsidR="00970BD1" w:rsidRPr="00561182">
        <w:t>, “Dependency on number of coverage classes for EC-EGPRS on system capacity”, source Ericsson LM.</w:t>
      </w:r>
      <w:bookmarkEnd w:id="6"/>
    </w:p>
    <w:bookmarkStart w:id="7" w:name="_Ref442810033"/>
    <w:p w:rsidR="0078539C" w:rsidRDefault="0078539C" w:rsidP="00970BD1">
      <w:pPr>
        <w:pStyle w:val="Reference"/>
      </w:pPr>
      <w:r>
        <w:fldChar w:fldCharType="begin"/>
      </w:r>
      <w:r>
        <w:instrText xml:space="preserve"> HYPERLINK "ftp://www.3gpp.org/tsg_geran/TSG_GERAN/GERAN_69_Malta/Docs/GP-160032.zip" </w:instrText>
      </w:r>
      <w:r>
        <w:fldChar w:fldCharType="separate"/>
      </w:r>
      <w:r>
        <w:rPr>
          <w:rStyle w:val="Hyperlink"/>
        </w:rPr>
        <w:t>GP-160032</w:t>
      </w:r>
      <w:r>
        <w:fldChar w:fldCharType="end"/>
      </w:r>
      <w:r>
        <w:t>, “Additional EC-RACH mapping”, source Ericsson LM. GERAN#69.</w:t>
      </w:r>
      <w:bookmarkEnd w:id="7"/>
    </w:p>
    <w:bookmarkStart w:id="8" w:name="_Ref442810132"/>
    <w:p w:rsidR="0078539C" w:rsidRPr="00561182" w:rsidRDefault="004E7EF6" w:rsidP="00970BD1">
      <w:pPr>
        <w:pStyle w:val="Reference"/>
      </w:pPr>
      <w:r>
        <w:fldChar w:fldCharType="begin"/>
      </w:r>
      <w:r>
        <w:instrText xml:space="preserve"> HYPERLINK "ftp://www.3gpp.org/tsg_geran/TSG_GERAN/GERAN_69_Malta/Docs/GP-160049.zip" </w:instrText>
      </w:r>
      <w:r>
        <w:fldChar w:fldCharType="separate"/>
      </w:r>
      <w:r>
        <w:rPr>
          <w:rStyle w:val="Hyperlink"/>
        </w:rPr>
        <w:t>GP-160049</w:t>
      </w:r>
      <w:r>
        <w:fldChar w:fldCharType="end"/>
      </w:r>
      <w:r>
        <w:t>, “CR 45.002, Introduction of EC-EGPRS, Mapping of logical channels onto physical channels”, source Ericsson LM. GERAN#69.</w:t>
      </w:r>
      <w:bookmarkEnd w:id="8"/>
    </w:p>
    <w:sectPr w:rsidR="0078539C" w:rsidRPr="00561182" w:rsidSect="002D4FA5">
      <w:headerReference w:type="default" r:id="rId13"/>
      <w:footerReference w:type="default" r:id="rId14"/>
      <w:headerReference w:type="first" r:id="rId15"/>
      <w:footerReference w:type="first" r:id="rId16"/>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CBB" w:rsidRDefault="002C4CBB">
      <w:r>
        <w:separator/>
      </w:r>
    </w:p>
  </w:endnote>
  <w:endnote w:type="continuationSeparator" w:id="0">
    <w:p w:rsidR="002C4CBB" w:rsidRDefault="002C4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BC6" w:rsidRDefault="000B2BC6">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00FD9">
      <w:rPr>
        <w:rStyle w:val="PageNumber"/>
        <w:noProof/>
      </w:rPr>
      <w:t>2</w:t>
    </w:r>
    <w:r>
      <w:rPr>
        <w:rStyle w:val="PageNumber"/>
      </w:rPr>
      <w:fldChar w:fldCharType="end"/>
    </w:r>
    <w:bookmarkStart w:id="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0FD9">
      <w:rPr>
        <w:rStyle w:val="PageNumber"/>
        <w:noProof/>
      </w:rPr>
      <w:t>3</w:t>
    </w:r>
    <w:r>
      <w:rPr>
        <w:rStyle w:val="PageNumber"/>
      </w:rPr>
      <w:fldChar w:fldCharType="end"/>
    </w:r>
    <w:r>
      <w:rPr>
        <w:rStyle w:val="PageNumber"/>
      </w:rPr>
      <w:t>)</w:t>
    </w:r>
    <w:bookmarkEnd w:id="9"/>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BC6" w:rsidRDefault="000B2BC6">
    <w:pPr>
      <w:pStyle w:val="Footer"/>
      <w:jc w:val="center"/>
    </w:pPr>
    <w:r>
      <w:rPr>
        <w:rStyle w:val="PageNumber"/>
      </w:rPr>
      <w:fldChar w:fldCharType="begin"/>
    </w:r>
    <w:r>
      <w:rPr>
        <w:rStyle w:val="PageNumber"/>
      </w:rPr>
      <w:instrText xml:space="preserve"> PAGE </w:instrText>
    </w:r>
    <w:r>
      <w:rPr>
        <w:rStyle w:val="PageNumber"/>
      </w:rPr>
      <w:fldChar w:fldCharType="separate"/>
    </w:r>
    <w:r w:rsidR="0055439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4399">
      <w:rPr>
        <w:rStyle w:val="PageNumber"/>
        <w:noProof/>
      </w:rPr>
      <w:t>3</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CBB" w:rsidRDefault="002C4CBB">
      <w:r>
        <w:separator/>
      </w:r>
    </w:p>
  </w:footnote>
  <w:footnote w:type="continuationSeparator" w:id="0">
    <w:p w:rsidR="002C4CBB" w:rsidRDefault="002C4C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BC6" w:rsidRPr="00C84C71" w:rsidRDefault="000B2BC6" w:rsidP="00EA60C1">
    <w:pPr>
      <w:pStyle w:val="Header"/>
      <w:rPr>
        <w:lang w:val="sv-SE"/>
      </w:rPr>
    </w:pPr>
    <w:r w:rsidRPr="00C84C71">
      <w:rPr>
        <w:lang w:val="sv-SE"/>
      </w:rPr>
      <w:t>3GPP TSG GERAN#69</w:t>
    </w:r>
    <w:r w:rsidRPr="00C84C71">
      <w:rPr>
        <w:lang w:val="sv-SE"/>
      </w:rPr>
      <w:tab/>
    </w:r>
    <w:r w:rsidRPr="00C84C71">
      <w:rPr>
        <w:lang w:val="sv-SE"/>
      </w:rPr>
      <w:tab/>
      <w:t>Tdoc GP</w:t>
    </w:r>
    <w:r w:rsidRPr="00A91AD7">
      <w:rPr>
        <w:lang w:val="sv-SE"/>
      </w:rPr>
      <w:t>-</w:t>
    </w:r>
    <w:r w:rsidR="00A91AD7" w:rsidRPr="00A91AD7">
      <w:rPr>
        <w:lang w:val="sv-SE"/>
      </w:rPr>
      <w:t>160</w:t>
    </w:r>
    <w:r w:rsidR="00C33E64">
      <w:rPr>
        <w:lang w:val="sv-SE"/>
      </w:rPr>
      <w:t>031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BC6" w:rsidRPr="00C84C71" w:rsidRDefault="000B2BC6" w:rsidP="0015360B">
    <w:pPr>
      <w:pStyle w:val="Header"/>
      <w:spacing w:after="0"/>
      <w:rPr>
        <w:lang w:val="sv-SE"/>
      </w:rPr>
    </w:pPr>
    <w:r w:rsidRPr="00C84C71">
      <w:rPr>
        <w:lang w:val="sv-SE"/>
      </w:rPr>
      <w:t>3GPP TSG GERAN#69</w:t>
    </w:r>
    <w:r w:rsidRPr="00C84C71">
      <w:rPr>
        <w:lang w:val="sv-SE"/>
      </w:rPr>
      <w:tab/>
    </w:r>
    <w:r w:rsidRPr="00C84C71">
      <w:rPr>
        <w:lang w:val="sv-SE"/>
      </w:rPr>
      <w:tab/>
      <w:t>Tdoc GP-</w:t>
    </w:r>
    <w:r w:rsidR="00B20691">
      <w:rPr>
        <w:lang w:val="sv-SE"/>
      </w:rPr>
      <w:t>160031</w:t>
    </w:r>
  </w:p>
  <w:p w:rsidR="000B2BC6" w:rsidRPr="00F171F5" w:rsidRDefault="000B2BC6" w:rsidP="0015360B">
    <w:pPr>
      <w:pStyle w:val="Header"/>
      <w:spacing w:after="0"/>
      <w:rPr>
        <w:lang w:val="it-IT"/>
      </w:rPr>
    </w:pPr>
    <w:r>
      <w:rPr>
        <w:lang w:val="it-IT"/>
      </w:rPr>
      <w:t>St. Julians, Malta</w:t>
    </w:r>
    <w:r w:rsidRPr="00F171F5">
      <w:rPr>
        <w:lang w:val="it-IT"/>
      </w:rPr>
      <w:tab/>
    </w:r>
    <w:r w:rsidRPr="00F171F5">
      <w:rPr>
        <w:lang w:val="it-IT"/>
      </w:rPr>
      <w:tab/>
      <w:t xml:space="preserve">Agenda item </w:t>
    </w:r>
    <w:r w:rsidR="000828E5">
      <w:rPr>
        <w:lang w:val="it-IT"/>
      </w:rPr>
      <w:t>7.1.5.</w:t>
    </w:r>
    <w:r>
      <w:rPr>
        <w:lang w:val="it-IT"/>
      </w:rPr>
      <w:t>1.2</w:t>
    </w:r>
  </w:p>
  <w:p w:rsidR="000B2BC6" w:rsidRPr="00264773" w:rsidRDefault="000B2BC6" w:rsidP="0015360B">
    <w:pPr>
      <w:pStyle w:val="Header"/>
      <w:spacing w:after="0"/>
      <w:rPr>
        <w:snapToGrid w:val="0"/>
      </w:rPr>
    </w:pPr>
    <w:r>
      <w:t>15</w:t>
    </w:r>
    <w:r w:rsidRPr="00264773">
      <w:rPr>
        <w:vertAlign w:val="superscript"/>
      </w:rPr>
      <w:t>th</w:t>
    </w:r>
    <w:r w:rsidRPr="00264773">
      <w:t xml:space="preserve">– </w:t>
    </w:r>
    <w:r>
      <w:t>18</w:t>
    </w:r>
    <w:r w:rsidRPr="00B74E2C">
      <w:rPr>
        <w:vertAlign w:val="superscript"/>
      </w:rPr>
      <w:t>th</w:t>
    </w:r>
    <w:r>
      <w:t xml:space="preserve"> Feb</w:t>
    </w:r>
    <w:r w:rsidRPr="00264773">
      <w:t xml:space="preserve">, </w:t>
    </w:r>
    <w:r>
      <w:t>2016</w:t>
    </w:r>
    <w:r w:rsidRPr="00264773">
      <w:br/>
    </w:r>
    <w:bookmarkStart w:id="10" w:name="_Ref515183447"/>
    <w:bookmarkEnd w:id="10"/>
    <w:r w:rsidRPr="00264773">
      <w:t xml:space="preserve">Source: </w:t>
    </w:r>
    <w:r>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0"/>
  </w:num>
  <w:num w:numId="7">
    <w:abstractNumId w:val="6"/>
  </w:num>
  <w:num w:numId="8">
    <w:abstractNumId w:val="9"/>
  </w:num>
  <w:num w:numId="9">
    <w:abstractNumId w:val="11"/>
  </w:num>
  <w:num w:numId="10">
    <w:abstractNumId w:val="13"/>
  </w:num>
  <w:num w:numId="11">
    <w:abstractNumId w:val="8"/>
  </w:num>
  <w:num w:numId="12">
    <w:abstractNumId w:val="7"/>
  </w:num>
  <w:num w:numId="13">
    <w:abstractNumId w:val="0"/>
  </w:num>
  <w:num w:numId="14">
    <w:abstractNumId w:val="14"/>
  </w:num>
  <w:num w:numId="1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0D6"/>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8E5"/>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2BC6"/>
    <w:rsid w:val="000B39FB"/>
    <w:rsid w:val="000B3D19"/>
    <w:rsid w:val="000B480F"/>
    <w:rsid w:val="000B4A93"/>
    <w:rsid w:val="000B4CA8"/>
    <w:rsid w:val="000B5E4F"/>
    <w:rsid w:val="000B60B6"/>
    <w:rsid w:val="000B62EB"/>
    <w:rsid w:val="000B74A0"/>
    <w:rsid w:val="000B7CC5"/>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0FD9"/>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65CD"/>
    <w:rsid w:val="0018668C"/>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6E"/>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07E4"/>
    <w:rsid w:val="002C168B"/>
    <w:rsid w:val="002C20B2"/>
    <w:rsid w:val="002C3AC9"/>
    <w:rsid w:val="002C4CBB"/>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34B5"/>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1F97"/>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BCD"/>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E7EF6"/>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606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0BD"/>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4399"/>
    <w:rsid w:val="0055641B"/>
    <w:rsid w:val="00557068"/>
    <w:rsid w:val="0056018D"/>
    <w:rsid w:val="00560496"/>
    <w:rsid w:val="00561182"/>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7F6"/>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0CE4"/>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539C"/>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1B28"/>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796"/>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169"/>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46A"/>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22DE"/>
    <w:rsid w:val="008F31C4"/>
    <w:rsid w:val="008F37CE"/>
    <w:rsid w:val="008F4342"/>
    <w:rsid w:val="008F4894"/>
    <w:rsid w:val="008F4C45"/>
    <w:rsid w:val="008F56C7"/>
    <w:rsid w:val="008F5FED"/>
    <w:rsid w:val="008F63DE"/>
    <w:rsid w:val="008F6932"/>
    <w:rsid w:val="008F7278"/>
    <w:rsid w:val="008F7417"/>
    <w:rsid w:val="00901165"/>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0F2"/>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0BD1"/>
    <w:rsid w:val="00971131"/>
    <w:rsid w:val="00974859"/>
    <w:rsid w:val="009748CC"/>
    <w:rsid w:val="00974F70"/>
    <w:rsid w:val="00975092"/>
    <w:rsid w:val="00975633"/>
    <w:rsid w:val="00981412"/>
    <w:rsid w:val="009816E3"/>
    <w:rsid w:val="00985D0E"/>
    <w:rsid w:val="0098689B"/>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62C"/>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5BA"/>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1AD7"/>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6616"/>
    <w:rsid w:val="00AA7877"/>
    <w:rsid w:val="00AA7F3B"/>
    <w:rsid w:val="00AB1BC5"/>
    <w:rsid w:val="00AB34FB"/>
    <w:rsid w:val="00AB386C"/>
    <w:rsid w:val="00AB3EA7"/>
    <w:rsid w:val="00AB518D"/>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05F5"/>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17AFD"/>
    <w:rsid w:val="00B20691"/>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87B51"/>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4915"/>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3E64"/>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71"/>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3D22"/>
    <w:rsid w:val="00CC4B81"/>
    <w:rsid w:val="00CC550A"/>
    <w:rsid w:val="00CC5B6E"/>
    <w:rsid w:val="00CC635F"/>
    <w:rsid w:val="00CD32CF"/>
    <w:rsid w:val="00CD407F"/>
    <w:rsid w:val="00CD40F9"/>
    <w:rsid w:val="00CD48CE"/>
    <w:rsid w:val="00CD48F8"/>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2B4"/>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2505"/>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5DF"/>
    <w:rsid w:val="00E47E03"/>
    <w:rsid w:val="00E5066F"/>
    <w:rsid w:val="00E5087F"/>
    <w:rsid w:val="00E5133F"/>
    <w:rsid w:val="00E5283D"/>
    <w:rsid w:val="00E5343A"/>
    <w:rsid w:val="00E53ECF"/>
    <w:rsid w:val="00E53F12"/>
    <w:rsid w:val="00E543D4"/>
    <w:rsid w:val="00E5547A"/>
    <w:rsid w:val="00E55559"/>
    <w:rsid w:val="00E55C67"/>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4F41"/>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35B7"/>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2B12"/>
    <w:rsid w:val="00F2547E"/>
    <w:rsid w:val="00F2559E"/>
    <w:rsid w:val="00F2621C"/>
    <w:rsid w:val="00F26A0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1786"/>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28E5"/>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0828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28E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28E5"/>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0828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28E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9EAEB-81BD-46CE-B54D-018D4BE35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727</Words>
  <Characters>4147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4865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17</cp:revision>
  <cp:lastPrinted>2013-02-08T15:42:00Z</cp:lastPrinted>
  <dcterms:created xsi:type="dcterms:W3CDTF">2016-02-08T18:51:00Z</dcterms:created>
  <dcterms:modified xsi:type="dcterms:W3CDTF">2016-02-09T18:40:00Z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